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30.08.2026, 20:50 МСК · База обновлена: 29.08.2026,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"Детская городская поликлиника № 99" при проведении внутреннего контроля качества, безопасности медицинской деятельности и оценки качества организации иммунопрофилактики отметила следующие факты:</w:t>
      </w:r>
    </w:p>
    <w:p>
      <w:pPr>
        <w:spacing w:after="58"/>
      </w:pPr>
      <w:r>
        <w:rPr>
          <w:b w:val="0"/>
          <w:i w:val="0"/>
        </w:rPr>
        <w:t>* температура в холодильнике с вакцинами измеряется раз в три дня;</w:t>
      </w:r>
    </w:p>
    <w:p>
      <w:pPr>
        <w:spacing w:after="58"/>
      </w:pPr>
      <w:r>
        <w:rPr>
          <w:b w:val="0"/>
          <w:i w:val="0"/>
        </w:rPr>
        <w:t>* в холодильнике имеется запас медицинских иммунобиологических препаратов, превышающий месячный;</w:t>
      </w:r>
    </w:p>
    <w:p>
      <w:pPr>
        <w:spacing w:after="58"/>
      </w:pPr>
      <w:r>
        <w:rPr>
          <w:b w:val="0"/>
          <w:i w:val="0"/>
        </w:rPr>
        <w:t>Медицинской сестре было поручено транспортировать вакцины в другой филиал, для чего она упаковала ампулы с вакцинами в пластиковый пакет.</w:t>
      </w:r>
    </w:p>
    <w:p>
      <w:pPr>
        <w:spacing w:after="58"/>
      </w:pPr>
      <w:r>
        <w:rPr>
          <w:b w:val="0"/>
          <w:i w:val="0"/>
        </w:rPr>
        <w:t>Подготовка шприцев и оснащения к проведению вакцинации проводилась над раковиной и на подоконнике. На многодозовых флаконах в холодильнике отмечена вчерашняя дата вскрытия.</w:t>
      </w:r>
    </w:p>
    <w:p>
      <w:pPr>
        <w:spacing w:after="58"/>
      </w:pPr>
      <w:r>
        <w:rPr>
          <w:b w:val="0"/>
          <w:i w:val="0"/>
        </w:rPr>
        <w:t>Генеральная уборка холодильника, по данным записи журнала, проводится один раз в месяц.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человек подряд по времени. Вакцинация была начата сразу после уточнения фамилии пациента.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Все манипуляции с вакцинами проводятся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лотках, расположенных на письменном столе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подоконнике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промаркированных столах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кушетке, стоящей в кабинете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специально промаркированных столах</w:t>
      </w:r>
    </w:p>
    <w:p>
      <w:pPr>
        <w:spacing w:after="58"/>
      </w:pPr>
      <w:r>
        <w:rPr>
          <w:b w:val="0"/>
          <w:i w:val="0"/>
        </w:rPr>
        <w:t>«Все манипуляции с вакцинами проводятся только на специально отведенном столе (столах)»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Иммунизацию в медицинских организациях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кабинете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процедурном кабинете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оборудованных прививочных кабинетах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свободном/не занятом кабинете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специально оборудованных прививочных кабинетах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«4213. Профилактические прививки проводятся в прививочных кабинетах медицинских организаций, не допускается проведение прививок в процедурных кабинетах за исключением сельских медицинских организаций (фельдшерско-акушерских пунктов), в которых устанавливается график проведения процедур и иммунизации населения, исключающий одновременное их проведение, и предусматривающий обязательную влажную уборку помещения с применением дезинфицирующих средств и обеззараживанием воздуха после проведения процедур до начала иммунизации»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не допускается категорически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«4227. Не разрешается заблаговременный набор вакцины в шприцы и последующее хранение вакцины в шприцах»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уничтожают в соответствии с установленными требованиями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«4224. Открытые флаконы с вакциной в конце рабочего дня уничтожают в соответствии с обязательными требованиями»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часов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рабочего дня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</w:t>
      </w:r>
    </w:p>
    <w:p>
      <w:pPr>
        <w:spacing w:after="58"/>
      </w:pPr>
      <w:r>
        <w:rPr>
          <w:b w:val="0"/>
          <w:i w:val="0"/>
        </w:rPr>
        <w:t xml:space="preserve">* забор каждой дозы вакцины из флакона осуществляется с соблюдением правил асептики; </w:t>
        <w:br/>
        <w:t xml:space="preserve">* вакцины хранятся при соответствующей температуре (от +2°С до +8°С); </w:t>
        <w:br/>
        <w:t>* восстановленные вакцины используются немедленно и хранению не подлежат..»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 месяц</w:t>
      </w:r>
    </w:p>
    <w:p>
      <w:pPr>
        <w:spacing w:after="58"/>
      </w:pPr>
      <w:r>
        <w:rPr>
          <w:b w:val="0"/>
          <w:i w:val="0"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мес.»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наличие заключения врача о допуске к прививке</w:t>
      </w:r>
    </w:p>
    <w:p>
      <w:pPr>
        <w:spacing w:after="58"/>
      </w:pPr>
      <w:r>
        <w:rPr>
          <w:b w:val="0"/>
          <w:i w:val="0"/>
        </w:rPr>
        <w:t>«Перед проведением прививки вакцинатор:</w:t>
      </w:r>
    </w:p>
    <w:p>
      <w:pPr>
        <w:spacing w:after="58"/>
      </w:pPr>
      <w:r>
        <w:rPr>
          <w:b w:val="0"/>
          <w:i w:val="0"/>
        </w:rPr>
        <w:t xml:space="preserve">* проверяет наличие заключения врача о допуске к прививке; </w:t>
        <w:br/>
        <w:t xml:space="preserve">*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</w:t>
        <w:br/>
        <w:t>* визуально оценивает качество препарата (путем встряхивания сорбированных вакцин</w:t>
        <w:br/>
        <w:t>и после растворения лиофилизированных вакцин).»</w:t>
      </w:r>
    </w:p>
    <w:p>
      <w:pPr>
        <w:spacing w:after="58"/>
      </w:pPr>
      <w:r>
        <w:rPr>
          <w:b w:val="0"/>
          <w:i w:val="0"/>
        </w:rPr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Температура в холодильнике, где хранятся вакцины измеряется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раз(-а)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«Температурный режим хранения вакцин в холодильнике контролируют дважды в сутки. Показания термометра заносят в журнал регистрации температурного режима холодильника. В процессе хранения препаратов следует проводить их выборочный визуальный контроль не реже 1 раза в месяц. При аварийном или плановом (на мойку) отключении холодильника вакцины следует хранить в термоконтейнерах с хладоэлементами. Аварийное или плановое отключение холодильника фиксируют в журнале регистрации температурного режима холодильника»</w:t>
      </w:r>
    </w:p>
    <w:p>
      <w:pPr>
        <w:spacing w:after="58"/>
      </w:pPr>
      <w:r>
        <w:rPr>
          <w:b w:val="0"/>
          <w:i w:val="0"/>
        </w:rPr>
        <w:t>Зверев, В. В. Вакцины и вакцинация: Национальное руководство. Краткое издание / под ред. В. В. Зверева, Р. М. Хаитова - Москва: ГЭОТАР-Медиа, 2014. - 640 с. - ISBN 978-5-9704-2866-5.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Генеральная уборка холодильника для вакцин проводится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3;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15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4 - 1; месяц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"4310. Текущая уборка в холодильных камерах (комнатах) осуществляется по мере необходимости; генеральная уборка проводится не реже одного раза в месяц."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Транспортирование медицинских иммунобиологических препаратов должно осуществляться при соблюдении температурного режима, для чего в каждый контейнер с вакциной вкладывают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ртутный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инфракрасный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электронный термометр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термоиндикатор</w:t>
      </w:r>
    </w:p>
    <w:p>
      <w:pPr>
        <w:spacing w:after="58"/>
      </w:pPr>
      <w:r>
        <w:rPr>
          <w:b w:val="0"/>
          <w:i w:val="0"/>
        </w:rPr>
        <w:t>Санитарные правила и нормы СанПиН 3.3686-21 «Санитарно-эпидемиологические требования по профилактике инфекционных болезней»</w:t>
      </w:r>
    </w:p>
    <w:p>
      <w:pPr>
        <w:spacing w:after="58"/>
      </w:pPr>
      <w:r>
        <w:rPr>
          <w:b w:val="0"/>
          <w:i w:val="0"/>
        </w:rPr>
        <w:t>«Хранение и транспортирование иммунобиологических лекарственных препаратов, предназначенных для иммунизации населения, на всех этапах должно осуществляться с соблюдением температурных режимов хранения и транспортирования»</w:t>
      </w:r>
    </w:p>
    <w:p>
      <w:pPr>
        <w:spacing w:after="58"/>
      </w:pPr>
      <w:r>
        <w:rPr>
          <w:b w:val="0"/>
          <w:i w:val="0"/>
        </w:rPr>
        <w:t>"4267.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Лиофилизированная вакцина хранится в кабинете иммунопрофилактики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верхней полке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полке шкафа в кабинете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сейфе кабинета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верхней полке холодильника</w:t>
      </w:r>
    </w:p>
    <w:p>
      <w:pPr>
        <w:spacing w:after="58"/>
      </w:pPr>
      <w:r>
        <w:rPr>
          <w:b w:val="0"/>
          <w:i w:val="0"/>
        </w:rPr>
        <w:t>«Совместное хранение МИБП с другими медицинскими препаратами не допускается. Препараты одного наименования располагаются по сериям, с учетом срока годности. Вакцины разных наименований хранятся в одном холодильнике на разных маркированных полках. В морозильной камере хранят холодовые элементы, заполняя камеру постепенно во избежание повышения температуры и располагая их в положении на боку так, чтобы между ними оставалось место для циркуляции воздуха. В холодильной камере на верхней полке лежат живые вирусные вакцины против полиомиелита и кори; на средней полке - неадсорбированные вакцины; на нижней полке - вакцина против коклюша, дифтерии и столбняка (АКДС) и другие неадсорбированные препараты, растворители; вакцину БЦЖ хранят в отдельном холодильнике на средней полке. Хранение МИБП на дверной панели холодильника не допускается. Выборочный визуальный контроль МИБП в процессе хранения осуществляется не реже чем 1 раз в месяц. Первоочередность использования вакцин определяется сроками годности».</w:t>
      </w:r>
    </w:p>
    <w:p>
      <w:pPr>
        <w:spacing w:after="58"/>
      </w:pPr>
      <w:r>
        <w:rPr>
          <w:b w:val="0"/>
          <w:i w:val="0"/>
        </w:rPr>
        <w:t>Справочник главной медицинской сестры / под ред. С. И. Двойникова. - 2-е изд. , перераб. и доп. - Москва : ГЭОТАР-Медиа, 2020. - 320 с. - ISBN 978-5-9704-5772-6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составляет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и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вакцинопрофилактики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отчет; наложению дисциплинарного взыскания на медицинскую сестру кабинета вакцинопрофилактики</w:t>
      </w:r>
    </w:p>
    <w:p>
      <w:pPr>
        <w:spacing w:after="58"/>
      </w:pPr>
      <w:r>
        <w:rPr>
          <w:b w:val="0"/>
          <w:i w:val="0"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</w:r>
    </w:p>
    <w:p>
      <w:pPr>
        <w:spacing w:after="58"/>
      </w:pPr>
      <w:r>
        <w:rPr>
          <w:b w:val="0"/>
          <w:i w:val="0"/>
        </w:rPr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</w:r>
    </w:p>
    <w:p>
      <w:pPr>
        <w:spacing w:after="58"/>
      </w:pPr>
      <w:r>
        <w:rPr>
          <w:b w:val="0"/>
          <w:i w:val="0"/>
        </w:rPr>
        <w:t>Трудовой кодекс Российской Федерации от 30.12.2001 N 197-ФЗ статья 192. Дисциплинарные взыскания:</w:t>
      </w:r>
    </w:p>
    <w:p>
      <w:pPr>
        <w:spacing w:after="58"/>
      </w:pPr>
      <w:r>
        <w:rPr>
          <w:b w:val="0"/>
          <w:i w:val="0"/>
        </w:rPr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>
      <w:pPr>
        <w:spacing w:after="58"/>
      </w:pPr>
      <w:r>
        <w:rPr>
          <w:b w:val="0"/>
          <w:i w:val="0"/>
        </w:rPr>
        <w:t>1) замечание;</w:t>
      </w:r>
    </w:p>
    <w:p>
      <w:pPr>
        <w:spacing w:after="58"/>
      </w:pPr>
      <w:r>
        <w:rPr>
          <w:b w:val="0"/>
          <w:i w:val="0"/>
        </w:rPr>
        <w:t>2) выговор;</w:t>
      </w:r>
    </w:p>
    <w:p>
      <w:pPr>
        <w:spacing w:after="58"/>
      </w:pPr>
      <w:r>
        <w:rPr>
          <w:b w:val="0"/>
          <w:i w:val="0"/>
        </w:rPr>
        <w:t>3) увольнение по соответствующим основаниям».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Трудовой кодекс Российской Федерации от 30.12.2001 N 197-ФЗ (ред. от 25.12.2023) (с изм. и доп., вступ. в силу с 01.01.2024)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lefeei#paragraph_lefeei" TargetMode="External"/><Relationship Id="rId21" Type="http://schemas.openxmlformats.org/officeDocument/2006/relationships/hyperlink" Target="https://library.mededtech.ru/rest/documents/sanpin3686_21/" TargetMode="External"/><Relationship Id="rId22" Type="http://schemas.openxmlformats.org/officeDocument/2006/relationships/hyperlink" Target="https://library.mededtech.ru/rest/documents/sanpin3686_21/index.html#paragraph_v5i6nq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1/index.html#paragraph_2i241v" TargetMode="External"/><Relationship Id="rId25" Type="http://schemas.openxmlformats.org/officeDocument/2006/relationships/hyperlink" Target="https://library.mededtech.ru/rest/documents/sanpin3686_21/index.html#paragraph_9ve5m5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anpin3686_21/index.html#paragraph_pkpeel" TargetMode="External"/><Relationship Id="rId28" Type="http://schemas.openxmlformats.org/officeDocument/2006/relationships/hyperlink" Target="https://library.mededtech.ru/rest/documents/tom1/?anchor=paragraph_45ejof#paragraph_45ejof" TargetMode="External"/><Relationship Id="rId29" Type="http://schemas.openxmlformats.org/officeDocument/2006/relationships/hyperlink" Target="https://library.mededtech.ru/rest/documents/ISBN9785970476345/?anchor=paragraph_64lchf#paragraph_64lchf" TargetMode="External"/><Relationship Id="rId30" Type="http://schemas.openxmlformats.org/officeDocument/2006/relationships/hyperlink" Target="https://library.mededtech.ru/rest/documents/ISBN9785970428665/?anchor=paragraph_92darm#paragraph_92darm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3686_21/index.html#paragraph_3jrph2" TargetMode="External"/><Relationship Id="rId33" Type="http://schemas.openxmlformats.org/officeDocument/2006/relationships/hyperlink" Target="https://library.mededtech.ru/rest/documents/sanpin3686_21/index.html#paragraph_01d42c" TargetMode="External"/><Relationship Id="rId34" Type="http://schemas.openxmlformats.org/officeDocument/2006/relationships/hyperlink" Target="https://library.mededtech.ru/rest/documents/ISBN9785970457726/?anchor=paragraph_3rgvd4#paragraph_3rgvd4" TargetMode="External"/><Relationship Id="rId35" Type="http://schemas.openxmlformats.org/officeDocument/2006/relationships/hyperlink" Target="https://library.mededtech.ru/rest/documents/prikaz785/" TargetMode="External"/><Relationship Id="rId36" Type="http://schemas.openxmlformats.org/officeDocument/2006/relationships/hyperlink" Target="https://library.mededtech.ru/rest/documents/prikaz785/#list_item_k1113b" TargetMode="External"/><Relationship Id="rId37" Type="http://schemas.openxmlformats.org/officeDocument/2006/relationships/hyperlink" Target="https://library.mededtech.ru/rest/documents/tdN197/" TargetMode="External"/><Relationship Id="rId38" Type="http://schemas.openxmlformats.org/officeDocument/2006/relationships/hyperlink" Target="https://library.mededtech.ru/rest/documents/tdN197/#paragraph_1193l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